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F" w:rsidRDefault="00447B6E" w:rsidP="00447B6E">
      <w:pPr>
        <w:jc w:val="center"/>
      </w:pPr>
      <w:bookmarkStart w:id="0" w:name="_GoBack"/>
      <w:bookmarkEnd w:id="0"/>
      <w:r>
        <w:t>COVID-19 FAQ</w:t>
      </w:r>
    </w:p>
    <w:p w:rsidR="006C32C4" w:rsidRDefault="006C32C4" w:rsidP="00447B6E">
      <w:pPr>
        <w:jc w:val="center"/>
      </w:pPr>
    </w:p>
    <w:p w:rsidR="00447B6E" w:rsidRPr="009E2090" w:rsidRDefault="00447B6E" w:rsidP="00447B6E">
      <w:pPr>
        <w:rPr>
          <w:b/>
          <w:u w:val="single"/>
        </w:rPr>
      </w:pPr>
      <w:r w:rsidRPr="009E2090">
        <w:rPr>
          <w:b/>
          <w:u w:val="single"/>
        </w:rPr>
        <w:t>Background:</w:t>
      </w:r>
    </w:p>
    <w:p w:rsidR="00447B6E" w:rsidRDefault="00447B6E" w:rsidP="00447B6E">
      <w:pPr>
        <w:pStyle w:val="ListParagraph"/>
        <w:numPr>
          <w:ilvl w:val="0"/>
          <w:numId w:val="1"/>
        </w:numPr>
        <w:spacing w:line="240" w:lineRule="auto"/>
      </w:pPr>
      <w:r>
        <w:t>Part of the family of coronaviruses. The most common coronaviruses cause typical cold symptoms</w:t>
      </w:r>
      <w:r w:rsidR="006C32C4">
        <w:t xml:space="preserve"> (fever, cough, sore throat, runny nose)</w:t>
      </w:r>
      <w:r>
        <w:t>.</w:t>
      </w:r>
    </w:p>
    <w:p w:rsidR="00447B6E" w:rsidRDefault="00447B6E" w:rsidP="00447B6E">
      <w:pPr>
        <w:pStyle w:val="ListParagraph"/>
        <w:numPr>
          <w:ilvl w:val="0"/>
          <w:numId w:val="1"/>
        </w:numPr>
        <w:spacing w:line="240" w:lineRule="auto"/>
      </w:pPr>
      <w:r>
        <w:t>MERS and SARS are also coronavirus</w:t>
      </w:r>
      <w:r w:rsidR="006C32C4">
        <w:t>es</w:t>
      </w:r>
      <w:r>
        <w:t>. COVID-19 is most closely related to the SARS variation.</w:t>
      </w:r>
    </w:p>
    <w:p w:rsidR="002B46D9" w:rsidRDefault="002B46D9" w:rsidP="00447B6E">
      <w:pPr>
        <w:pStyle w:val="ListParagraph"/>
        <w:numPr>
          <w:ilvl w:val="0"/>
          <w:numId w:val="1"/>
        </w:numPr>
        <w:spacing w:line="240" w:lineRule="auto"/>
      </w:pPr>
      <w:r>
        <w:t xml:space="preserve">Is a single segmented RNA virus which means it can mutate and change its </w:t>
      </w:r>
      <w:proofErr w:type="gramStart"/>
      <w:r>
        <w:t>virulence.</w:t>
      </w:r>
      <w:proofErr w:type="gramEnd"/>
      <w:r w:rsidR="006C32C4">
        <w:t xml:space="preserve"> </w:t>
      </w:r>
      <w:proofErr w:type="gramStart"/>
      <w:r w:rsidR="006C32C4">
        <w:t>Which could be causing the variation in hospitalization rat</w:t>
      </w:r>
      <w:r w:rsidR="00171F02">
        <w:t>es and death rates that are seen over a widespread area.</w:t>
      </w:r>
      <w:proofErr w:type="gramEnd"/>
    </w:p>
    <w:p w:rsidR="002B46D9" w:rsidRPr="009E2090" w:rsidRDefault="002B46D9" w:rsidP="002B46D9">
      <w:pPr>
        <w:spacing w:line="240" w:lineRule="auto"/>
        <w:rPr>
          <w:b/>
          <w:u w:val="single"/>
        </w:rPr>
      </w:pPr>
      <w:r w:rsidRPr="009E2090">
        <w:rPr>
          <w:b/>
          <w:u w:val="single"/>
        </w:rPr>
        <w:t>Symptoms:</w:t>
      </w:r>
    </w:p>
    <w:p w:rsidR="002B46D9" w:rsidRDefault="002B46D9" w:rsidP="002B46D9">
      <w:pPr>
        <w:spacing w:line="240" w:lineRule="auto"/>
      </w:pPr>
      <w:r>
        <w:t>The three common symptoms seen in a majority of the cases are: Fever, Cough and SOB (80% cases).</w:t>
      </w:r>
    </w:p>
    <w:p w:rsidR="009E2090" w:rsidRDefault="009E2090" w:rsidP="002B46D9">
      <w:pPr>
        <w:spacing w:line="240" w:lineRule="auto"/>
      </w:pPr>
      <w:r>
        <w:t>Other symptoms less reported include:</w:t>
      </w:r>
    </w:p>
    <w:p w:rsidR="009E2090" w:rsidRDefault="009E2090" w:rsidP="009E2090">
      <w:pPr>
        <w:pStyle w:val="ListParagraph"/>
        <w:numPr>
          <w:ilvl w:val="0"/>
          <w:numId w:val="2"/>
        </w:numPr>
        <w:spacing w:line="240" w:lineRule="auto"/>
      </w:pPr>
      <w:r>
        <w:t xml:space="preserve">GI symptoms (Nausea/vomiting)  </w:t>
      </w:r>
      <w:r w:rsidR="00FE1A78">
        <w:t>25</w:t>
      </w:r>
      <w:r>
        <w:t xml:space="preserve">% </w:t>
      </w:r>
    </w:p>
    <w:p w:rsidR="009E2090" w:rsidRDefault="009E2090" w:rsidP="009E2090">
      <w:pPr>
        <w:pStyle w:val="ListParagraph"/>
        <w:numPr>
          <w:ilvl w:val="0"/>
          <w:numId w:val="2"/>
        </w:numPr>
        <w:spacing w:line="240" w:lineRule="auto"/>
      </w:pPr>
      <w:r>
        <w:t>sore throat 5%</w:t>
      </w:r>
    </w:p>
    <w:p w:rsidR="002B46D9" w:rsidRDefault="009E2090" w:rsidP="009E2090">
      <w:pPr>
        <w:pStyle w:val="ListParagraph"/>
        <w:numPr>
          <w:ilvl w:val="0"/>
          <w:numId w:val="2"/>
        </w:numPr>
        <w:spacing w:line="240" w:lineRule="auto"/>
      </w:pPr>
      <w:r>
        <w:t>runny nose 5%</w:t>
      </w:r>
    </w:p>
    <w:p w:rsidR="009E2090" w:rsidRDefault="009E2090" w:rsidP="009E2090">
      <w:pPr>
        <w:spacing w:line="240" w:lineRule="auto"/>
        <w:rPr>
          <w:b/>
          <w:u w:val="single"/>
        </w:rPr>
      </w:pPr>
      <w:r w:rsidRPr="009E2090">
        <w:rPr>
          <w:b/>
          <w:u w:val="single"/>
        </w:rPr>
        <w:t>Characteristics:</w:t>
      </w:r>
    </w:p>
    <w:p w:rsidR="009E2090" w:rsidRPr="009E2090" w:rsidRDefault="009E2090" w:rsidP="009E2090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 xml:space="preserve">Incubation period (how long from exposure to illness) 1-14 days, most develop symptoms </w:t>
      </w:r>
      <w:proofErr w:type="gramStart"/>
      <w:r>
        <w:t>by  day</w:t>
      </w:r>
      <w:proofErr w:type="gramEnd"/>
      <w:r w:rsidR="00171F02">
        <w:t xml:space="preserve"> 4-</w:t>
      </w:r>
      <w:r>
        <w:t>5.</w:t>
      </w:r>
    </w:p>
    <w:p w:rsidR="009E2090" w:rsidRPr="00DE4DE3" w:rsidRDefault="009E2090" w:rsidP="009E2090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 xml:space="preserve">A person </w:t>
      </w:r>
      <w:r w:rsidR="00DE4DE3">
        <w:t xml:space="preserve">can be </w:t>
      </w:r>
      <w:r>
        <w:t xml:space="preserve">contagious 1-2 </w:t>
      </w:r>
      <w:r w:rsidR="00DE4DE3">
        <w:t xml:space="preserve">days </w:t>
      </w:r>
      <w:r>
        <w:t xml:space="preserve">before onset of symptoms, HOWEVER, </w:t>
      </w:r>
      <w:r w:rsidR="00DE4DE3">
        <w:t>viral shedding increases exponentially once symptoms begin. Mass DPH considers a person contagious when symptoms are present.</w:t>
      </w:r>
    </w:p>
    <w:p w:rsidR="00DE4DE3" w:rsidRPr="006372EA" w:rsidRDefault="00DE4DE3" w:rsidP="009E2090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 xml:space="preserve">Transmission rate (how many people can get sick if exposed to a contagious patient: 1.5-3.5.     In other words, a contagious person spreads the illness to between 1.5-3.5 people. </w:t>
      </w:r>
      <w:proofErr w:type="gramStart"/>
      <w:r>
        <w:t>For  comparison</w:t>
      </w:r>
      <w:proofErr w:type="gramEnd"/>
      <w:r>
        <w:t>, influenza is 1:1 spread and norovirus is 1:4</w:t>
      </w:r>
      <w:r w:rsidR="00171F02">
        <w:t xml:space="preserve"> spread</w:t>
      </w:r>
      <w:r>
        <w:t>.</w:t>
      </w:r>
    </w:p>
    <w:p w:rsidR="006372EA" w:rsidRPr="006372EA" w:rsidRDefault="006372EA" w:rsidP="009E2090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 xml:space="preserve">At this point, is more fatal to people over the age of 60 with co-morbid high risk factors (heart disease, diabetes, </w:t>
      </w:r>
      <w:r w:rsidR="00171F02">
        <w:t xml:space="preserve">hypertension </w:t>
      </w:r>
      <w:r>
        <w:t>and chronic respiratory disease).  Additional co-morbidities increased risk of death. In looking at reported deaths from Italy and China:</w:t>
      </w:r>
    </w:p>
    <w:p w:rsidR="006372EA" w:rsidRPr="006372EA" w:rsidRDefault="006372EA" w:rsidP="006372EA">
      <w:pPr>
        <w:pStyle w:val="ListParagraph"/>
        <w:numPr>
          <w:ilvl w:val="1"/>
          <w:numId w:val="3"/>
        </w:numPr>
        <w:spacing w:line="240" w:lineRule="auto"/>
        <w:rPr>
          <w:b/>
          <w:u w:val="single"/>
        </w:rPr>
      </w:pPr>
      <w:r>
        <w:t>48% of deaths had 3 or more co-morbidities.</w:t>
      </w:r>
    </w:p>
    <w:p w:rsidR="006372EA" w:rsidRPr="006372EA" w:rsidRDefault="006372EA" w:rsidP="006372EA">
      <w:pPr>
        <w:pStyle w:val="ListParagraph"/>
        <w:numPr>
          <w:ilvl w:val="1"/>
          <w:numId w:val="3"/>
        </w:numPr>
        <w:spacing w:line="240" w:lineRule="auto"/>
        <w:rPr>
          <w:b/>
          <w:u w:val="single"/>
        </w:rPr>
      </w:pPr>
      <w:r>
        <w:t>26% of deaths had 2 co-morbidities.</w:t>
      </w:r>
    </w:p>
    <w:p w:rsidR="006372EA" w:rsidRPr="006372EA" w:rsidRDefault="006372EA" w:rsidP="006372EA">
      <w:pPr>
        <w:pStyle w:val="ListParagraph"/>
        <w:numPr>
          <w:ilvl w:val="1"/>
          <w:numId w:val="3"/>
        </w:numPr>
        <w:spacing w:line="240" w:lineRule="auto"/>
        <w:rPr>
          <w:b/>
          <w:u w:val="single"/>
        </w:rPr>
      </w:pPr>
      <w:r>
        <w:t xml:space="preserve">25% of deaths had </w:t>
      </w:r>
      <w:proofErr w:type="gramStart"/>
      <w:r>
        <w:t>1 co-morbidity</w:t>
      </w:r>
      <w:proofErr w:type="gramEnd"/>
      <w:r>
        <w:t>.</w:t>
      </w:r>
    </w:p>
    <w:p w:rsidR="006372EA" w:rsidRPr="006372EA" w:rsidRDefault="006372EA" w:rsidP="006372EA">
      <w:pPr>
        <w:pStyle w:val="ListParagraph"/>
        <w:numPr>
          <w:ilvl w:val="1"/>
          <w:numId w:val="3"/>
        </w:numPr>
        <w:spacing w:line="240" w:lineRule="auto"/>
        <w:rPr>
          <w:b/>
          <w:u w:val="single"/>
        </w:rPr>
      </w:pPr>
      <w:r>
        <w:t>1% of death had no co-morbidity.</w:t>
      </w:r>
    </w:p>
    <w:p w:rsidR="006372EA" w:rsidRPr="006372EA" w:rsidRDefault="006372EA" w:rsidP="006372EA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80% of confirmed COVID-19 patients have mild to no symptoms.</w:t>
      </w:r>
    </w:p>
    <w:p w:rsidR="006372EA" w:rsidRPr="006372EA" w:rsidRDefault="006372EA" w:rsidP="006372EA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15% of confirmed COVID-19 patients require hospitalizations</w:t>
      </w:r>
    </w:p>
    <w:p w:rsidR="006372EA" w:rsidRPr="0075093A" w:rsidRDefault="006372EA" w:rsidP="006372EA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5% of confirmed COVID-19 patients require ICU level care.</w:t>
      </w:r>
    </w:p>
    <w:p w:rsidR="0075093A" w:rsidRPr="00171F02" w:rsidRDefault="00C57C64" w:rsidP="006372EA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Can live on clothing up to 12 hours, porous surfaces 3-4 hours and metal/copper surfaces up to 6-8 hours.</w:t>
      </w:r>
    </w:p>
    <w:p w:rsidR="00171F02" w:rsidRDefault="00171F02" w:rsidP="00171F02">
      <w:pPr>
        <w:spacing w:line="240" w:lineRule="auto"/>
        <w:rPr>
          <w:b/>
          <w:u w:val="single"/>
        </w:rPr>
      </w:pPr>
    </w:p>
    <w:p w:rsidR="00171F02" w:rsidRPr="00171F02" w:rsidRDefault="00171F02" w:rsidP="00171F02">
      <w:pPr>
        <w:spacing w:line="240" w:lineRule="auto"/>
        <w:rPr>
          <w:b/>
          <w:u w:val="single"/>
        </w:rPr>
      </w:pPr>
    </w:p>
    <w:p w:rsidR="00152940" w:rsidRDefault="00152940" w:rsidP="00152940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Case Fatality Rates:</w:t>
      </w:r>
    </w:p>
    <w:p w:rsidR="00152940" w:rsidRPr="00152940" w:rsidRDefault="00152940" w:rsidP="00152940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 xml:space="preserve">Worldwide: 4.7% </w:t>
      </w:r>
    </w:p>
    <w:p w:rsidR="00152940" w:rsidRPr="00152940" w:rsidRDefault="00152940" w:rsidP="00152940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US: 1.7%</w:t>
      </w:r>
    </w:p>
    <w:p w:rsidR="00152940" w:rsidRPr="00152940" w:rsidRDefault="00152940" w:rsidP="00152940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Massachusetts: 0.96%</w:t>
      </w:r>
    </w:p>
    <w:p w:rsidR="00152940" w:rsidRDefault="00152940" w:rsidP="00152940">
      <w:pPr>
        <w:spacing w:line="240" w:lineRule="auto"/>
      </w:pPr>
      <w:r>
        <w:t xml:space="preserve">There is a wide spread in </w:t>
      </w:r>
      <w:r w:rsidR="0075093A">
        <w:t>C</w:t>
      </w:r>
      <w:r>
        <w:t xml:space="preserve">ase </w:t>
      </w:r>
      <w:r w:rsidR="0075093A">
        <w:t>F</w:t>
      </w:r>
      <w:r>
        <w:t xml:space="preserve">atality </w:t>
      </w:r>
      <w:r w:rsidR="0075093A">
        <w:t>R</w:t>
      </w:r>
      <w:r>
        <w:t>ates (CFR)</w:t>
      </w:r>
      <w:r w:rsidR="00420C96">
        <w:t xml:space="preserve"> being reported</w:t>
      </w:r>
      <w:r>
        <w:t xml:space="preserve">. </w:t>
      </w:r>
      <w:r w:rsidR="0075093A">
        <w:t xml:space="preserve">Case Fatality Rates look at known cases and compares them to known fatalities. </w:t>
      </w:r>
      <w:r>
        <w:t xml:space="preserve">European countries have shown a high rate </w:t>
      </w:r>
      <w:r w:rsidR="0075093A">
        <w:t xml:space="preserve">which is believed to be due to </w:t>
      </w:r>
      <w:r>
        <w:t>poor primary care medicine, older population and greater number of co-</w:t>
      </w:r>
      <w:proofErr w:type="spellStart"/>
      <w:r>
        <w:t>mobidities</w:t>
      </w:r>
      <w:proofErr w:type="spellEnd"/>
      <w:r>
        <w:t>.</w:t>
      </w:r>
      <w:r w:rsidR="004F582B">
        <w:t xml:space="preserve"> </w:t>
      </w:r>
      <w:r w:rsidR="00FE1A78">
        <w:t xml:space="preserve"> </w:t>
      </w:r>
      <w:r w:rsidR="004F582B">
        <w:t xml:space="preserve">At this point, in Massachusetts the fatality rate is just slightly higher than seasonal influenza (0.5% CFR). </w:t>
      </w:r>
      <w:r w:rsidR="001F283D">
        <w:t>However, with any diseases/virus, there are t</w:t>
      </w:r>
      <w:r w:rsidR="0075093A">
        <w:t xml:space="preserve">ypically many more cases that are unknown which would lower the fatality rate even more. A true fatality rate for COVID-19 won’t truly be known till after the </w:t>
      </w:r>
      <w:r w:rsidR="00420C96">
        <w:t>p</w:t>
      </w:r>
      <w:r w:rsidR="0075093A">
        <w:t xml:space="preserve">andemic ends. </w:t>
      </w:r>
      <w:r w:rsidR="004F582B">
        <w:t>For comparison, here are the case fatality rates of a few other diseases we have encountered over the years:</w:t>
      </w:r>
    </w:p>
    <w:p w:rsidR="004F582B" w:rsidRDefault="004F582B" w:rsidP="004F582B">
      <w:pPr>
        <w:pStyle w:val="ListParagraph"/>
        <w:numPr>
          <w:ilvl w:val="0"/>
          <w:numId w:val="5"/>
        </w:numPr>
        <w:spacing w:line="240" w:lineRule="auto"/>
      </w:pPr>
      <w:r>
        <w:t>Severe Acute Respiratory Syndrome (SARS): 10% CFR</w:t>
      </w:r>
    </w:p>
    <w:p w:rsidR="004F582B" w:rsidRDefault="004F582B" w:rsidP="004F582B">
      <w:pPr>
        <w:pStyle w:val="ListParagraph"/>
        <w:numPr>
          <w:ilvl w:val="0"/>
          <w:numId w:val="5"/>
        </w:numPr>
        <w:spacing w:line="240" w:lineRule="auto"/>
      </w:pPr>
      <w:r>
        <w:t>Middle Eastern Respiratory Syndrome (MERS): 35% CFR</w:t>
      </w:r>
    </w:p>
    <w:p w:rsidR="004F582B" w:rsidRDefault="004F582B" w:rsidP="004F582B">
      <w:pPr>
        <w:pStyle w:val="ListParagraph"/>
        <w:numPr>
          <w:ilvl w:val="0"/>
          <w:numId w:val="5"/>
        </w:numPr>
        <w:spacing w:line="240" w:lineRule="auto"/>
      </w:pPr>
      <w:r>
        <w:t>Ebola: 50% CFR</w:t>
      </w:r>
    </w:p>
    <w:p w:rsidR="006372EA" w:rsidRDefault="006372EA" w:rsidP="006372EA">
      <w:pPr>
        <w:spacing w:line="240" w:lineRule="auto"/>
        <w:rPr>
          <w:b/>
          <w:u w:val="single"/>
        </w:rPr>
      </w:pPr>
      <w:r>
        <w:rPr>
          <w:b/>
          <w:u w:val="single"/>
        </w:rPr>
        <w:t>By the numbers</w:t>
      </w:r>
      <w:r w:rsidR="00420C96">
        <w:rPr>
          <w:b/>
          <w:u w:val="single"/>
        </w:rPr>
        <w:t xml:space="preserve"> (as of 3/29)</w:t>
      </w:r>
      <w:r>
        <w:rPr>
          <w:b/>
          <w:u w:val="single"/>
        </w:rPr>
        <w:t>:</w:t>
      </w:r>
    </w:p>
    <w:p w:rsidR="004F582B" w:rsidRPr="004F582B" w:rsidRDefault="004F582B" w:rsidP="004F582B">
      <w:pPr>
        <w:pStyle w:val="ListParagraph"/>
        <w:numPr>
          <w:ilvl w:val="0"/>
          <w:numId w:val="6"/>
        </w:numPr>
        <w:spacing w:line="240" w:lineRule="auto"/>
        <w:rPr>
          <w:b/>
          <w:u w:val="single"/>
        </w:rPr>
      </w:pPr>
      <w:r>
        <w:t xml:space="preserve">Worldwide: 693, 224 cases; 33, 106 deaths </w:t>
      </w:r>
    </w:p>
    <w:p w:rsidR="004F582B" w:rsidRPr="004F582B" w:rsidRDefault="004F582B" w:rsidP="004F582B">
      <w:pPr>
        <w:pStyle w:val="ListParagraph"/>
        <w:numPr>
          <w:ilvl w:val="0"/>
          <w:numId w:val="6"/>
        </w:numPr>
        <w:spacing w:line="240" w:lineRule="auto"/>
        <w:rPr>
          <w:b/>
          <w:u w:val="single"/>
        </w:rPr>
      </w:pPr>
      <w:r>
        <w:t>US: 140, 904 cases; 2,405 deaths</w:t>
      </w:r>
    </w:p>
    <w:p w:rsidR="004F582B" w:rsidRPr="00C57C64" w:rsidRDefault="004F582B" w:rsidP="004F582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u w:val="single"/>
        </w:rPr>
      </w:pPr>
      <w:r>
        <w:t>MA: 5,000 cases; 48 deaths; 8.1% hospitalization rate.</w:t>
      </w:r>
    </w:p>
    <w:p w:rsidR="00C57C64" w:rsidRPr="004F582B" w:rsidRDefault="00C57C64" w:rsidP="004F582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u w:val="single"/>
        </w:rPr>
      </w:pPr>
    </w:p>
    <w:p w:rsidR="004F582B" w:rsidRDefault="004F582B" w:rsidP="004F582B">
      <w:pPr>
        <w:spacing w:line="240" w:lineRule="auto"/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70BB1BC5" wp14:editId="10A863FB">
            <wp:extent cx="4152900" cy="2089150"/>
            <wp:effectExtent l="0" t="0" r="1905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283D" w:rsidRPr="001F283D" w:rsidRDefault="001F283D" w:rsidP="004F582B">
      <w:pPr>
        <w:spacing w:line="240" w:lineRule="auto"/>
        <w:jc w:val="both"/>
      </w:pPr>
      <w:r>
        <w:t xml:space="preserve">This graph is a breakdown of confirmed COVID-19 cases in Massachusetts. </w:t>
      </w:r>
      <w:r w:rsidR="00171F02">
        <w:t>C</w:t>
      </w:r>
      <w:r>
        <w:t xml:space="preserve">ases are dispersed almost equally between all age groups. All of the deaths in Ma have been in people over 50 with co-morbidities. </w:t>
      </w:r>
      <w:r w:rsidR="00171F02">
        <w:t>A majority of the d</w:t>
      </w:r>
      <w:r>
        <w:t>eaths were</w:t>
      </w:r>
      <w:r w:rsidR="00171F02">
        <w:t xml:space="preserve"> in people</w:t>
      </w:r>
      <w:r>
        <w:t xml:space="preserve"> greater than 70 years of age. </w:t>
      </w:r>
    </w:p>
    <w:p w:rsidR="001F283D" w:rsidRDefault="001F283D" w:rsidP="004F582B">
      <w:pPr>
        <w:spacing w:line="240" w:lineRule="auto"/>
        <w:jc w:val="both"/>
        <w:rPr>
          <w:b/>
          <w:u w:val="single"/>
        </w:rPr>
      </w:pPr>
    </w:p>
    <w:p w:rsidR="001F283D" w:rsidRDefault="001F283D" w:rsidP="004F582B">
      <w:pPr>
        <w:spacing w:line="240" w:lineRule="auto"/>
        <w:jc w:val="both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1EE340AF" wp14:editId="07D728D6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283D" w:rsidRDefault="001F283D" w:rsidP="004F582B">
      <w:pPr>
        <w:spacing w:line="240" w:lineRule="auto"/>
        <w:jc w:val="both"/>
      </w:pPr>
      <w:r>
        <w:t xml:space="preserve">Each day, the news reports more confirmed cases in Massachusetts. This is due to the increased capacity in statewide testing. In the matter of 1 week (3/21-3/28), 36,000 people were tested. Increased testing is finding additional cases that are asymptomatic. </w:t>
      </w:r>
      <w:r w:rsidR="00171F02">
        <w:t xml:space="preserve">At this point, MDPH considers COVID-19 as widespread community transmission.  Because of the amount of worldwide cases being detected after </w:t>
      </w:r>
      <w:r w:rsidR="00420C96">
        <w:t>travel bans were imposed on C</w:t>
      </w:r>
      <w:r w:rsidR="00171F02">
        <w:t xml:space="preserve">hina in early February, WHO/CDC believe COVID-19 may have </w:t>
      </w:r>
      <w:proofErr w:type="spellStart"/>
      <w:r w:rsidR="00171F02">
        <w:t>began</w:t>
      </w:r>
      <w:proofErr w:type="spellEnd"/>
      <w:r w:rsidR="00171F02">
        <w:t xml:space="preserve"> as early as November 2019 and went undetected until cases started popping up in January.</w:t>
      </w:r>
    </w:p>
    <w:p w:rsidR="00C57C64" w:rsidRDefault="00C57C64" w:rsidP="004F582B">
      <w:pPr>
        <w:spacing w:line="240" w:lineRule="auto"/>
        <w:jc w:val="both"/>
      </w:pPr>
    </w:p>
    <w:p w:rsidR="00C57C64" w:rsidRDefault="00C57C64" w:rsidP="004F582B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How long is this going to last?</w:t>
      </w:r>
    </w:p>
    <w:p w:rsidR="00C57C64" w:rsidRDefault="00C57C64" w:rsidP="004F582B">
      <w:pPr>
        <w:spacing w:line="240" w:lineRule="auto"/>
        <w:jc w:val="both"/>
      </w:pPr>
      <w:r>
        <w:t>A typical viral “curve”</w:t>
      </w:r>
      <w:r w:rsidR="00420C96">
        <w:t xml:space="preserve"> (d</w:t>
      </w:r>
      <w:r>
        <w:t xml:space="preserve">ocumented first case to last case) can last </w:t>
      </w:r>
      <w:r w:rsidR="00FF0D93">
        <w:t>8-12 weeks with the peak of the curve around the 4-6 week mark. The first cases in Massachusetts were documented in the beginning of March</w:t>
      </w:r>
      <w:r w:rsidR="00420C96">
        <w:t xml:space="preserve"> which means this curve could</w:t>
      </w:r>
      <w:r w:rsidR="00FF0D93">
        <w:t xml:space="preserve"> last until early June if not interrupted. However, social distancing prolongs the curve and slows the number of cases so the healthcare system isn’t overwhelmed. Current modeling pred</w:t>
      </w:r>
      <w:r w:rsidR="00FE1A78">
        <w:t>icts we will see a peak in the next few weeks. They are predicting that the week of April 14</w:t>
      </w:r>
      <w:r w:rsidR="00FE1A78" w:rsidRPr="00FE1A78">
        <w:rPr>
          <w:vertAlign w:val="superscript"/>
        </w:rPr>
        <w:t>th</w:t>
      </w:r>
      <w:r w:rsidR="00FE1A78">
        <w:t>, we will see peak hospital admissions, ICU/vent use and deaths</w:t>
      </w:r>
      <w:r w:rsidR="00FF0D93">
        <w:t>. On the bright side, Coronaviruses don’t thrive well in warmer we</w:t>
      </w:r>
      <w:r w:rsidR="00FE1A78">
        <w:t>ather, so, hopefully as the weather warms up, that will help to limit viral spread.</w:t>
      </w:r>
    </w:p>
    <w:p w:rsidR="00FF0D93" w:rsidRDefault="00FF0D93" w:rsidP="004F582B">
      <w:pPr>
        <w:spacing w:line="240" w:lineRule="auto"/>
        <w:jc w:val="both"/>
        <w:rPr>
          <w:b/>
          <w:u w:val="single"/>
        </w:rPr>
      </w:pPr>
      <w:r w:rsidRPr="00FF0D93">
        <w:rPr>
          <w:b/>
          <w:u w:val="single"/>
        </w:rPr>
        <w:t>Take home points:</w:t>
      </w:r>
    </w:p>
    <w:p w:rsidR="00FF0D93" w:rsidRPr="00FF0D93" w:rsidRDefault="00FF0D93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 xml:space="preserve">We’re in this </w:t>
      </w:r>
      <w:r w:rsidR="00FE1A78">
        <w:t>for the long haul.  Cases are going to exponentially grow with a project peak in mid-April</w:t>
      </w:r>
      <w:r>
        <w:t>.</w:t>
      </w:r>
    </w:p>
    <w:p w:rsidR="00FF0D93" w:rsidRPr="00402270" w:rsidRDefault="00402270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>Despite what we are hearing on the news, a majority of the COVID-19 cases have mild to no symptoms.</w:t>
      </w:r>
    </w:p>
    <w:p w:rsidR="00402270" w:rsidRPr="00402270" w:rsidRDefault="00402270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>Most person to person transmission is happening when people are symptomatic.</w:t>
      </w:r>
    </w:p>
    <w:p w:rsidR="00402270" w:rsidRPr="00402270" w:rsidRDefault="00402270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>According to MDPH a “</w:t>
      </w:r>
      <w:r w:rsidR="00420C96">
        <w:t>t</w:t>
      </w:r>
      <w:r>
        <w:t xml:space="preserve">rue exposure” is being within 5 feet of a symptomatic person for greater than 10 minutes and exposed to their secretions (active coughing, aerosolized medications, </w:t>
      </w:r>
      <w:proofErr w:type="spellStart"/>
      <w:r>
        <w:t>etc</w:t>
      </w:r>
      <w:proofErr w:type="spellEnd"/>
      <w:r>
        <w:t xml:space="preserve">) without </w:t>
      </w:r>
      <w:r w:rsidR="00420C96">
        <w:t xml:space="preserve">using </w:t>
      </w:r>
      <w:r>
        <w:t xml:space="preserve">proper PPE. </w:t>
      </w:r>
      <w:r w:rsidR="006C32C4">
        <w:t>As long as you are wearing a proper mask, eye wear, gloves and gown, you</w:t>
      </w:r>
      <w:r w:rsidR="00FE1A78">
        <w:t xml:space="preserve"> have a very low risk</w:t>
      </w:r>
      <w:r w:rsidR="006C32C4">
        <w:t xml:space="preserve"> of exposure.</w:t>
      </w:r>
    </w:p>
    <w:p w:rsidR="00402270" w:rsidRPr="00402270" w:rsidRDefault="00402270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lastRenderedPageBreak/>
        <w:t>Put a surgical mask on every patient as soon as you make patient contact to limit exposure regardless of symptoms or chief complaint.</w:t>
      </w:r>
    </w:p>
    <w:p w:rsidR="00402270" w:rsidRPr="00402270" w:rsidRDefault="00402270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 xml:space="preserve"> Cleaning surfaces with disinfect cleaners or a 10% bleach solution will kill the virus.</w:t>
      </w:r>
    </w:p>
    <w:p w:rsidR="00402270" w:rsidRPr="006C32C4" w:rsidRDefault="00402270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>Washing and drying our uniforms in normal settings machine settings is enough to eliminate the virus. There is no chance of cross contamination of clothing</w:t>
      </w:r>
      <w:r w:rsidR="006C32C4">
        <w:t xml:space="preserve"> that is laundered.</w:t>
      </w:r>
    </w:p>
    <w:p w:rsidR="006C32C4" w:rsidRPr="006C32C4" w:rsidRDefault="006C32C4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>Case numbers will continue to increase with increased testing.</w:t>
      </w:r>
    </w:p>
    <w:p w:rsidR="006C32C4" w:rsidRPr="00FE1A78" w:rsidRDefault="006C32C4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>Exposure is first hand</w:t>
      </w:r>
      <w:r w:rsidR="00D848A9">
        <w:t xml:space="preserve"> contact</w:t>
      </w:r>
      <w:r>
        <w:t xml:space="preserve"> with a symptomatic person, there is no chan</w:t>
      </w:r>
      <w:r w:rsidR="00D848A9">
        <w:t>ce</w:t>
      </w:r>
      <w:r>
        <w:t xml:space="preserve"> of second hand exposure (e.g. I was around someone with no symptoms who was around someone that tested positive).</w:t>
      </w:r>
    </w:p>
    <w:p w:rsidR="00FE1A78" w:rsidRPr="006C32C4" w:rsidRDefault="00FE1A78" w:rsidP="00FF0D93">
      <w:pPr>
        <w:pStyle w:val="ListParagraph"/>
        <w:numPr>
          <w:ilvl w:val="0"/>
          <w:numId w:val="7"/>
        </w:numPr>
        <w:spacing w:line="240" w:lineRule="auto"/>
        <w:jc w:val="both"/>
        <w:rPr>
          <w:b/>
        </w:rPr>
      </w:pPr>
      <w:r>
        <w:t>They have been seeing a huge surge in clusters in nursing homes statewide. Any calls in nursing homes we should be wearing PPE.</w:t>
      </w:r>
    </w:p>
    <w:p w:rsidR="00FF0D93" w:rsidRPr="00C57C64" w:rsidRDefault="00FF0D93" w:rsidP="004F582B">
      <w:pPr>
        <w:spacing w:line="240" w:lineRule="auto"/>
        <w:jc w:val="both"/>
      </w:pPr>
    </w:p>
    <w:p w:rsidR="001F283D" w:rsidRPr="001F283D" w:rsidRDefault="001F283D" w:rsidP="004F582B">
      <w:pPr>
        <w:spacing w:line="240" w:lineRule="auto"/>
        <w:jc w:val="both"/>
      </w:pPr>
    </w:p>
    <w:p w:rsidR="001F283D" w:rsidRPr="004F582B" w:rsidRDefault="001F283D" w:rsidP="004F582B">
      <w:pPr>
        <w:spacing w:line="240" w:lineRule="auto"/>
        <w:jc w:val="both"/>
        <w:rPr>
          <w:b/>
          <w:u w:val="single"/>
        </w:rPr>
      </w:pPr>
    </w:p>
    <w:p w:rsidR="004F582B" w:rsidRDefault="004F582B" w:rsidP="004F582B">
      <w:pPr>
        <w:spacing w:line="240" w:lineRule="auto"/>
        <w:jc w:val="both"/>
        <w:rPr>
          <w:b/>
          <w:u w:val="single"/>
        </w:rPr>
      </w:pPr>
    </w:p>
    <w:p w:rsidR="004F582B" w:rsidRPr="004F582B" w:rsidRDefault="004F582B" w:rsidP="004F582B">
      <w:pPr>
        <w:spacing w:line="240" w:lineRule="auto"/>
        <w:jc w:val="both"/>
        <w:rPr>
          <w:b/>
          <w:u w:val="single"/>
        </w:rPr>
      </w:pPr>
    </w:p>
    <w:p w:rsidR="006372EA" w:rsidRPr="006372EA" w:rsidRDefault="006372EA" w:rsidP="006372EA">
      <w:pPr>
        <w:spacing w:line="240" w:lineRule="auto"/>
        <w:rPr>
          <w:b/>
          <w:u w:val="single"/>
        </w:rPr>
      </w:pPr>
    </w:p>
    <w:p w:rsidR="006372EA" w:rsidRPr="006372EA" w:rsidRDefault="006372EA" w:rsidP="006372EA">
      <w:pPr>
        <w:spacing w:line="240" w:lineRule="auto"/>
        <w:rPr>
          <w:b/>
          <w:u w:val="single"/>
        </w:rPr>
      </w:pPr>
    </w:p>
    <w:p w:rsidR="009E2090" w:rsidRDefault="009E2090" w:rsidP="009E2090">
      <w:pPr>
        <w:spacing w:line="240" w:lineRule="auto"/>
      </w:pPr>
    </w:p>
    <w:p w:rsidR="009E2090" w:rsidRDefault="009E2090" w:rsidP="009E2090">
      <w:pPr>
        <w:spacing w:line="240" w:lineRule="auto"/>
      </w:pPr>
    </w:p>
    <w:p w:rsidR="009E2090" w:rsidRDefault="009E2090" w:rsidP="009E2090">
      <w:pPr>
        <w:spacing w:line="240" w:lineRule="auto"/>
      </w:pPr>
    </w:p>
    <w:p w:rsidR="009E2090" w:rsidRDefault="009E2090" w:rsidP="009E2090">
      <w:pPr>
        <w:spacing w:line="240" w:lineRule="auto"/>
      </w:pPr>
    </w:p>
    <w:sectPr w:rsidR="009E2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96F"/>
    <w:multiLevelType w:val="hybridMultilevel"/>
    <w:tmpl w:val="8E1ADD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D6884"/>
    <w:multiLevelType w:val="hybridMultilevel"/>
    <w:tmpl w:val="ABB2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14879"/>
    <w:multiLevelType w:val="hybridMultilevel"/>
    <w:tmpl w:val="FF6A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26859"/>
    <w:multiLevelType w:val="hybridMultilevel"/>
    <w:tmpl w:val="F402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B4284"/>
    <w:multiLevelType w:val="hybridMultilevel"/>
    <w:tmpl w:val="169C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103D8"/>
    <w:multiLevelType w:val="hybridMultilevel"/>
    <w:tmpl w:val="FA2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B346C9"/>
    <w:multiLevelType w:val="hybridMultilevel"/>
    <w:tmpl w:val="A8D0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6E"/>
    <w:rsid w:val="00152940"/>
    <w:rsid w:val="00171F02"/>
    <w:rsid w:val="001F283D"/>
    <w:rsid w:val="002B46D9"/>
    <w:rsid w:val="00402270"/>
    <w:rsid w:val="00420C96"/>
    <w:rsid w:val="00447B6E"/>
    <w:rsid w:val="004F582B"/>
    <w:rsid w:val="006372EA"/>
    <w:rsid w:val="006C32C4"/>
    <w:rsid w:val="0075093A"/>
    <w:rsid w:val="00787681"/>
    <w:rsid w:val="009867BF"/>
    <w:rsid w:val="009E2090"/>
    <w:rsid w:val="00C57C64"/>
    <w:rsid w:val="00D848A9"/>
    <w:rsid w:val="00DE4DE3"/>
    <w:rsid w:val="00FE1A78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 COVID-19 Cases by Age Group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Cases</c:v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Sheet1!$A$1:$G$1</c:f>
              <c:strCache>
                <c:ptCount val="7"/>
                <c:pt idx="0">
                  <c:v>&lt;=19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&gt;=70</c:v>
                </c:pt>
              </c:strCache>
            </c:strRef>
          </c:cat>
          <c:val>
            <c:numRef>
              <c:f>Sheet1!$A$2:$G$2</c:f>
              <c:numCache>
                <c:formatCode>General</c:formatCode>
                <c:ptCount val="7"/>
                <c:pt idx="0">
                  <c:v>101</c:v>
                </c:pt>
                <c:pt idx="1">
                  <c:v>842</c:v>
                </c:pt>
                <c:pt idx="2">
                  <c:v>866</c:v>
                </c:pt>
                <c:pt idx="3">
                  <c:v>810</c:v>
                </c:pt>
                <c:pt idx="4">
                  <c:v>953</c:v>
                </c:pt>
                <c:pt idx="5">
                  <c:v>686</c:v>
                </c:pt>
                <c:pt idx="6">
                  <c:v>690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697088"/>
        <c:axId val="330450816"/>
      </c:barChart>
      <c:catAx>
        <c:axId val="26069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330450816"/>
        <c:crosses val="autoZero"/>
        <c:auto val="1"/>
        <c:lblAlgn val="ctr"/>
        <c:lblOffset val="100"/>
        <c:noMultiLvlLbl val="0"/>
      </c:catAx>
      <c:valAx>
        <c:axId val="330450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69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286526684166"/>
          <c:y val="0.52984288422280545"/>
          <c:w val="0.11083202099737532"/>
          <c:h val="8.371719160104987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COVID Testing vs Confirmed Cases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Cases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Sheet2!$B$1:$J$1</c:f>
              <c:numCache>
                <c:formatCode>m/d;@</c:formatCode>
                <c:ptCount val="9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</c:numCache>
            </c:numRef>
          </c:cat>
          <c:val>
            <c:numRef>
              <c:f>Sheet2!$B$2:$J$2</c:f>
              <c:numCache>
                <c:formatCode>General</c:formatCode>
                <c:ptCount val="9"/>
                <c:pt idx="0">
                  <c:v>525</c:v>
                </c:pt>
                <c:pt idx="1">
                  <c:v>646</c:v>
                </c:pt>
                <c:pt idx="2">
                  <c:v>777</c:v>
                </c:pt>
                <c:pt idx="3">
                  <c:v>1200</c:v>
                </c:pt>
                <c:pt idx="4">
                  <c:v>1800</c:v>
                </c:pt>
                <c:pt idx="5">
                  <c:v>2400</c:v>
                </c:pt>
                <c:pt idx="6">
                  <c:v>3200</c:v>
                </c:pt>
                <c:pt idx="7">
                  <c:v>4300</c:v>
                </c:pt>
                <c:pt idx="8">
                  <c:v>5000</c:v>
                </c:pt>
              </c:numCache>
            </c:numRef>
          </c:val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Tested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Sheet2!$B$1:$J$1</c:f>
              <c:numCache>
                <c:formatCode>m/d;@</c:formatCode>
                <c:ptCount val="9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</c:numCache>
            </c:numRef>
          </c:cat>
          <c:val>
            <c:numRef>
              <c:f>Sheet2!$B$3:$J$3</c:f>
              <c:numCache>
                <c:formatCode>General</c:formatCode>
                <c:ptCount val="9"/>
                <c:pt idx="0">
                  <c:v>3031</c:v>
                </c:pt>
                <c:pt idx="1">
                  <c:v>3403</c:v>
                </c:pt>
                <c:pt idx="2">
                  <c:v>8922</c:v>
                </c:pt>
                <c:pt idx="3">
                  <c:v>13749</c:v>
                </c:pt>
                <c:pt idx="4">
                  <c:v>19794</c:v>
                </c:pt>
                <c:pt idx="5">
                  <c:v>23621</c:v>
                </c:pt>
                <c:pt idx="6">
                  <c:v>29371</c:v>
                </c:pt>
                <c:pt idx="7">
                  <c:v>35049</c:v>
                </c:pt>
                <c:pt idx="8">
                  <c:v>39000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991040"/>
        <c:axId val="301992576"/>
      </c:barChart>
      <c:dateAx>
        <c:axId val="301991040"/>
        <c:scaling>
          <c:orientation val="minMax"/>
        </c:scaling>
        <c:delete val="0"/>
        <c:axPos val="b"/>
        <c:numFmt formatCode="m/d;@" sourceLinked="1"/>
        <c:majorTickMark val="out"/>
        <c:minorTickMark val="none"/>
        <c:tickLblPos val="nextTo"/>
        <c:crossAx val="301992576"/>
        <c:crosses val="autoZero"/>
        <c:auto val="1"/>
        <c:lblOffset val="100"/>
        <c:baseTimeUnit val="days"/>
      </c:dateAx>
      <c:valAx>
        <c:axId val="30199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99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Russ Hall</cp:lastModifiedBy>
  <cp:revision>2</cp:revision>
  <dcterms:created xsi:type="dcterms:W3CDTF">2020-04-03T16:07:00Z</dcterms:created>
  <dcterms:modified xsi:type="dcterms:W3CDTF">2020-04-03T16:07:00Z</dcterms:modified>
</cp:coreProperties>
</file>